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A7E1A" w14:textId="581A89D0" w:rsidR="003117BB" w:rsidRPr="007D7FD5" w:rsidRDefault="007D7FD5" w:rsidP="0060382A">
      <w:pPr>
        <w:spacing w:before="120"/>
        <w:jc w:val="center"/>
        <w:rPr>
          <w:b/>
          <w:sz w:val="24"/>
          <w:szCs w:val="24"/>
          <w:lang w:val="hr-HR"/>
        </w:rPr>
      </w:pPr>
      <w:r w:rsidRPr="007D7FD5">
        <w:rPr>
          <w:b/>
          <w:sz w:val="24"/>
          <w:szCs w:val="24"/>
          <w:lang w:val="hr-HR"/>
        </w:rPr>
        <w:t>6.</w:t>
      </w:r>
      <w:r w:rsidR="003117BB" w:rsidRPr="007D7FD5">
        <w:rPr>
          <w:b/>
          <w:sz w:val="24"/>
          <w:szCs w:val="24"/>
          <w:lang w:val="hr-HR"/>
        </w:rPr>
        <w:t xml:space="preserve"> IZVJEŠTAJ O DANIM JAMSTVIMA I IZDACIMA PO DANIM JAMSTVIMA NA </w:t>
      </w:r>
      <w:r w:rsidR="007E3C7B">
        <w:rPr>
          <w:b/>
          <w:sz w:val="24"/>
          <w:szCs w:val="24"/>
          <w:lang w:val="hr-HR"/>
        </w:rPr>
        <w:t xml:space="preserve">DAN </w:t>
      </w:r>
      <w:r w:rsidR="003117BB" w:rsidRPr="007D7FD5">
        <w:rPr>
          <w:b/>
          <w:sz w:val="24"/>
          <w:szCs w:val="24"/>
          <w:lang w:val="hr-HR"/>
        </w:rPr>
        <w:t>3</w:t>
      </w:r>
      <w:r w:rsidR="0060382A">
        <w:rPr>
          <w:b/>
          <w:sz w:val="24"/>
          <w:szCs w:val="24"/>
          <w:lang w:val="hr-HR"/>
        </w:rPr>
        <w:t>0</w:t>
      </w:r>
      <w:r w:rsidR="003117BB" w:rsidRPr="007D7FD5">
        <w:rPr>
          <w:b/>
          <w:sz w:val="24"/>
          <w:szCs w:val="24"/>
          <w:lang w:val="hr-HR"/>
        </w:rPr>
        <w:t>.</w:t>
      </w:r>
      <w:r w:rsidR="0060382A">
        <w:rPr>
          <w:b/>
          <w:sz w:val="24"/>
          <w:szCs w:val="24"/>
          <w:lang w:val="hr-HR"/>
        </w:rPr>
        <w:t>06</w:t>
      </w:r>
      <w:r w:rsidR="003117BB" w:rsidRPr="007D7FD5">
        <w:rPr>
          <w:b/>
          <w:sz w:val="24"/>
          <w:szCs w:val="24"/>
          <w:lang w:val="hr-HR"/>
        </w:rPr>
        <w:t>.202</w:t>
      </w:r>
      <w:r w:rsidR="00DE558B">
        <w:rPr>
          <w:b/>
          <w:sz w:val="24"/>
          <w:szCs w:val="24"/>
          <w:lang w:val="hr-HR"/>
        </w:rPr>
        <w:t>5</w:t>
      </w:r>
      <w:r w:rsidR="003117BB" w:rsidRPr="007D7FD5">
        <w:rPr>
          <w:b/>
          <w:sz w:val="24"/>
          <w:szCs w:val="24"/>
          <w:lang w:val="hr-HR"/>
        </w:rPr>
        <w:t>. GODINE</w:t>
      </w:r>
    </w:p>
    <w:p w14:paraId="5D746BCF" w14:textId="4EF1D325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skladu s člankom </w:t>
      </w:r>
      <w:r w:rsidR="00050B43">
        <w:rPr>
          <w:sz w:val="24"/>
          <w:szCs w:val="24"/>
          <w:lang w:val="hr-HR"/>
        </w:rPr>
        <w:t>76</w:t>
      </w:r>
      <w:r>
        <w:rPr>
          <w:sz w:val="24"/>
          <w:szCs w:val="24"/>
          <w:lang w:val="hr-HR"/>
        </w:rPr>
        <w:t xml:space="preserve">. Zakona o proračunu („Narodne novine“, broj </w:t>
      </w:r>
      <w:r w:rsidR="00050B43">
        <w:rPr>
          <w:sz w:val="24"/>
          <w:szCs w:val="24"/>
          <w:lang w:val="hr-HR"/>
        </w:rPr>
        <w:t>144/21</w:t>
      </w:r>
      <w:r>
        <w:rPr>
          <w:sz w:val="24"/>
          <w:szCs w:val="24"/>
          <w:lang w:val="hr-HR"/>
        </w:rPr>
        <w:t xml:space="preserve">) sastavni dio </w:t>
      </w:r>
      <w:r w:rsidR="00773191">
        <w:rPr>
          <w:sz w:val="24"/>
          <w:szCs w:val="24"/>
          <w:lang w:val="hr-HR"/>
        </w:rPr>
        <w:t>polugodišnjeg</w:t>
      </w:r>
      <w:r>
        <w:rPr>
          <w:sz w:val="24"/>
          <w:szCs w:val="24"/>
          <w:lang w:val="hr-HR"/>
        </w:rPr>
        <w:t xml:space="preserve"> izvještaja o izvršenju proračuna je i </w:t>
      </w:r>
      <w:r w:rsidR="00050B43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zvještaj o danim jamstvima i izdacima po jamstvima.  </w:t>
      </w:r>
    </w:p>
    <w:p w14:paraId="5658BF29" w14:textId="4325EE2C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Stoga se Izvještaj o danim jamstvima i izdacima po danim jamstvima na 3</w:t>
      </w:r>
      <w:r w:rsidR="00773191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.</w:t>
      </w:r>
      <w:r w:rsidR="00773191">
        <w:rPr>
          <w:sz w:val="24"/>
          <w:szCs w:val="24"/>
          <w:lang w:val="hr-HR"/>
        </w:rPr>
        <w:t>06</w:t>
      </w:r>
      <w:r>
        <w:rPr>
          <w:sz w:val="24"/>
          <w:szCs w:val="24"/>
          <w:lang w:val="hr-HR"/>
        </w:rPr>
        <w:t>.202</w:t>
      </w:r>
      <w:r w:rsidR="00DE558B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godine nalazi se u prilogu ovog obrazloženja i sastavni je dio </w:t>
      </w:r>
      <w:r w:rsidR="00DE558B">
        <w:rPr>
          <w:sz w:val="24"/>
          <w:szCs w:val="24"/>
          <w:lang w:val="hr-HR"/>
        </w:rPr>
        <w:t>p</w:t>
      </w:r>
      <w:r w:rsidR="00773191">
        <w:rPr>
          <w:sz w:val="24"/>
          <w:szCs w:val="24"/>
          <w:lang w:val="hr-HR"/>
        </w:rPr>
        <w:t>olugodišnjeg</w:t>
      </w:r>
      <w:r>
        <w:rPr>
          <w:sz w:val="24"/>
          <w:szCs w:val="24"/>
          <w:lang w:val="hr-HR"/>
        </w:rPr>
        <w:t xml:space="preserve"> izvještaja o izvršenju Proračuna Krapinsko-zagorske županije </w:t>
      </w:r>
      <w:r w:rsidR="00773191">
        <w:rPr>
          <w:sz w:val="24"/>
          <w:szCs w:val="24"/>
          <w:lang w:val="hr-HR"/>
        </w:rPr>
        <w:t>za razdoblje od 01.01. – 30.06.202</w:t>
      </w:r>
      <w:r w:rsidR="00DE558B">
        <w:rPr>
          <w:sz w:val="24"/>
          <w:szCs w:val="24"/>
          <w:lang w:val="hr-HR"/>
        </w:rPr>
        <w:t>5</w:t>
      </w:r>
      <w:r w:rsidR="00773191">
        <w:rPr>
          <w:sz w:val="24"/>
          <w:szCs w:val="24"/>
          <w:lang w:val="hr-HR"/>
        </w:rPr>
        <w:t>. godine.</w:t>
      </w:r>
      <w:r>
        <w:rPr>
          <w:sz w:val="24"/>
          <w:szCs w:val="24"/>
          <w:lang w:val="hr-HR"/>
        </w:rPr>
        <w:t xml:space="preserve"> </w:t>
      </w:r>
    </w:p>
    <w:p w14:paraId="25AA755E" w14:textId="1D97B150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Stanje aktivnih jamstava na dan 3</w:t>
      </w:r>
      <w:r w:rsidR="00773191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.</w:t>
      </w:r>
      <w:r w:rsidR="00773191">
        <w:rPr>
          <w:sz w:val="24"/>
          <w:szCs w:val="24"/>
          <w:lang w:val="hr-HR"/>
        </w:rPr>
        <w:t>06</w:t>
      </w:r>
      <w:r>
        <w:rPr>
          <w:sz w:val="24"/>
          <w:szCs w:val="24"/>
          <w:lang w:val="hr-HR"/>
        </w:rPr>
        <w:t>.202</w:t>
      </w:r>
      <w:r w:rsidR="00DE558B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godine iznosi </w:t>
      </w:r>
      <w:r w:rsidR="00EC366A">
        <w:rPr>
          <w:sz w:val="24"/>
          <w:szCs w:val="24"/>
          <w:lang w:val="hr-HR"/>
        </w:rPr>
        <w:t>0,00</w:t>
      </w:r>
      <w:r>
        <w:rPr>
          <w:sz w:val="24"/>
          <w:szCs w:val="24"/>
          <w:lang w:val="hr-HR"/>
        </w:rPr>
        <w:t xml:space="preserve"> </w:t>
      </w:r>
      <w:r w:rsidR="00EC366A">
        <w:rPr>
          <w:sz w:val="24"/>
          <w:szCs w:val="24"/>
          <w:lang w:val="hr-HR"/>
        </w:rPr>
        <w:t>EUR</w:t>
      </w:r>
      <w:r w:rsidR="0036799F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</w:t>
      </w:r>
    </w:p>
    <w:p w14:paraId="261774D7" w14:textId="77777777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Do sada nije bilo poziva na plaćanje po danim jamstvima od strane kreditora.  </w:t>
      </w:r>
    </w:p>
    <w:p w14:paraId="6CEA1965" w14:textId="54354BD9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Sastavni dio predmetnog </w:t>
      </w:r>
      <w:r w:rsidR="00DE558B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>zvještaja je i pregled potraživanja za dane garantne depozite na dan 3</w:t>
      </w:r>
      <w:r w:rsidR="00773191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.</w:t>
      </w:r>
      <w:r w:rsidR="00773191">
        <w:rPr>
          <w:sz w:val="24"/>
          <w:szCs w:val="24"/>
          <w:lang w:val="hr-HR"/>
        </w:rPr>
        <w:t>06</w:t>
      </w:r>
      <w:r>
        <w:rPr>
          <w:sz w:val="24"/>
          <w:szCs w:val="24"/>
          <w:lang w:val="hr-HR"/>
        </w:rPr>
        <w:t>.202</w:t>
      </w:r>
      <w:r w:rsidR="00DE558B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godine. Navedena potraživanja iznose </w:t>
      </w:r>
      <w:r w:rsidR="00536C48">
        <w:rPr>
          <w:sz w:val="24"/>
          <w:szCs w:val="24"/>
          <w:lang w:val="hr-HR"/>
        </w:rPr>
        <w:t>1.</w:t>
      </w:r>
      <w:r w:rsidR="00DE558B">
        <w:rPr>
          <w:sz w:val="24"/>
          <w:szCs w:val="24"/>
          <w:lang w:val="hr-HR"/>
        </w:rPr>
        <w:t>011.288,98</w:t>
      </w:r>
      <w:r w:rsidR="00536C48">
        <w:rPr>
          <w:sz w:val="24"/>
          <w:szCs w:val="24"/>
          <w:lang w:val="hr-HR"/>
        </w:rPr>
        <w:t xml:space="preserve">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 od čega je </w:t>
      </w:r>
      <w:r w:rsidR="00DE558B">
        <w:rPr>
          <w:sz w:val="24"/>
          <w:szCs w:val="24"/>
          <w:lang w:val="hr-HR"/>
        </w:rPr>
        <w:t>993.890,08</w:t>
      </w:r>
      <w:r w:rsidRPr="00050169">
        <w:rPr>
          <w:sz w:val="24"/>
          <w:szCs w:val="24"/>
          <w:lang w:val="hr-HR"/>
        </w:rPr>
        <w:t xml:space="preserve">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 dospjelo (</w:t>
      </w:r>
      <w:r w:rsidR="0014799D">
        <w:rPr>
          <w:sz w:val="24"/>
          <w:szCs w:val="24"/>
          <w:lang w:val="hr-HR"/>
        </w:rPr>
        <w:t>n</w:t>
      </w:r>
      <w:r>
        <w:rPr>
          <w:sz w:val="24"/>
          <w:szCs w:val="24"/>
          <w:lang w:val="hr-HR"/>
        </w:rPr>
        <w:t>avedena dospjela sredstva odnose se na sredstva Državnog proračuna, proračuna JLS-ova i proračuna Županije koja su zajedno udruživana u fondove iz kojih se su se kreditirali poduzetnici ili su im se davala jamstava za kredite u komercijalnim bankama</w:t>
      </w:r>
      <w:r w:rsidR="0014799D">
        <w:rPr>
          <w:sz w:val="24"/>
          <w:szCs w:val="24"/>
          <w:lang w:val="hr-HR"/>
        </w:rPr>
        <w:t>)</w:t>
      </w:r>
      <w:r>
        <w:rPr>
          <w:sz w:val="24"/>
          <w:szCs w:val="24"/>
          <w:lang w:val="hr-HR"/>
        </w:rPr>
        <w:t xml:space="preserve"> sve u visini raspoloživih sredstava u fondovima. Navedeno dospjelo potraživanje od </w:t>
      </w:r>
      <w:r w:rsidR="00DE558B">
        <w:rPr>
          <w:sz w:val="24"/>
          <w:szCs w:val="24"/>
          <w:lang w:val="hr-HR"/>
        </w:rPr>
        <w:t>993.890,08</w:t>
      </w:r>
      <w:r w:rsidR="00536C48">
        <w:rPr>
          <w:sz w:val="24"/>
          <w:szCs w:val="24"/>
          <w:lang w:val="hr-HR"/>
        </w:rPr>
        <w:t xml:space="preserve">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 predstavlja potraživanje prema poduzetnicima temeljem isplaćenih jamstava po kreditima koja  su sukcesivno isplaćena poslovnima bankama u razdoblju od 2005. do 2015. g., te su protiv dužnika pokrenuti odgovarajući pravni postupci. Preostali iznos od</w:t>
      </w:r>
      <w:r w:rsidR="0014799D">
        <w:rPr>
          <w:sz w:val="24"/>
          <w:szCs w:val="24"/>
          <w:lang w:val="hr-HR"/>
        </w:rPr>
        <w:t xml:space="preserve"> </w:t>
      </w:r>
      <w:r w:rsidR="00DE558B">
        <w:rPr>
          <w:sz w:val="24"/>
          <w:szCs w:val="24"/>
          <w:lang w:val="hr-HR"/>
        </w:rPr>
        <w:t>17.398,90</w:t>
      </w:r>
      <w:r w:rsidR="00536C48">
        <w:rPr>
          <w:sz w:val="24"/>
          <w:szCs w:val="24"/>
          <w:lang w:val="hr-HR"/>
        </w:rPr>
        <w:t xml:space="preserve">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 odnosi se na potraživanja za studentske kredite</w:t>
      </w:r>
      <w:r w:rsidR="00DE558B">
        <w:rPr>
          <w:sz w:val="24"/>
          <w:szCs w:val="24"/>
          <w:lang w:val="hr-HR"/>
        </w:rPr>
        <w:t>.</w:t>
      </w:r>
    </w:p>
    <w:p w14:paraId="6A66AF10" w14:textId="77777777" w:rsidR="0076287C" w:rsidRDefault="0076287C"/>
    <w:p w14:paraId="1FA939A2" w14:textId="77777777" w:rsidR="007E3C7B" w:rsidRDefault="007E3C7B"/>
    <w:p w14:paraId="4A5CCFBC" w14:textId="77777777" w:rsidR="007E3C7B" w:rsidRDefault="007E3C7B"/>
    <w:p w14:paraId="67F38C5E" w14:textId="77777777" w:rsidR="007E3C7B" w:rsidRDefault="007E3C7B"/>
    <w:p w14:paraId="5893C655" w14:textId="77777777" w:rsidR="007E3C7B" w:rsidRDefault="007E3C7B"/>
    <w:p w14:paraId="22507176" w14:textId="77777777" w:rsidR="007E3C7B" w:rsidRDefault="007E3C7B"/>
    <w:p w14:paraId="1E6A306F" w14:textId="77777777" w:rsidR="007E3C7B" w:rsidRDefault="007E3C7B"/>
    <w:p w14:paraId="65BCF818" w14:textId="77777777" w:rsidR="007E3C7B" w:rsidRDefault="007E3C7B"/>
    <w:p w14:paraId="517DB395" w14:textId="77777777" w:rsidR="007E3C7B" w:rsidRDefault="007E3C7B"/>
    <w:p w14:paraId="040A3095" w14:textId="77777777" w:rsidR="007E3C7B" w:rsidRDefault="007E3C7B"/>
    <w:p w14:paraId="2B124A16" w14:textId="77777777" w:rsidR="007E3C7B" w:rsidRDefault="007E3C7B"/>
    <w:p w14:paraId="5B0824C2" w14:textId="77777777" w:rsidR="007E3C7B" w:rsidRDefault="007E3C7B"/>
    <w:p w14:paraId="0F223DC0" w14:textId="77777777" w:rsidR="007E3C7B" w:rsidRDefault="007E3C7B"/>
    <w:p w14:paraId="4D189BF7" w14:textId="77777777" w:rsidR="007E3C7B" w:rsidRDefault="007E3C7B"/>
    <w:p w14:paraId="3CC897F3" w14:textId="77777777" w:rsidR="007E3C7B" w:rsidRDefault="007E3C7B"/>
    <w:p w14:paraId="46814E23" w14:textId="77777777" w:rsidR="007E3C7B" w:rsidRDefault="007E3C7B"/>
    <w:p w14:paraId="271E6FB4" w14:textId="77777777" w:rsidR="007E3C7B" w:rsidRDefault="007E3C7B"/>
    <w:p w14:paraId="606FC5D9" w14:textId="77777777" w:rsidR="007E3C7B" w:rsidRDefault="007E3C7B"/>
    <w:p w14:paraId="6F215BA2" w14:textId="77777777" w:rsidR="007E3C7B" w:rsidRDefault="007E3C7B"/>
    <w:p w14:paraId="4712E25E" w14:textId="77777777" w:rsidR="007E3C7B" w:rsidRDefault="007E3C7B"/>
    <w:p w14:paraId="4EFDCDC6" w14:textId="77777777" w:rsidR="007E3C7B" w:rsidRDefault="007E3C7B"/>
    <w:p w14:paraId="386872A5" w14:textId="77777777" w:rsidR="007E3C7B" w:rsidRDefault="007E3C7B">
      <w:pPr>
        <w:sectPr w:rsidR="007E3C7B" w:rsidSect="00C97F0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89"/>
        <w:tblW w:w="14772" w:type="dxa"/>
        <w:tblLook w:val="04A0" w:firstRow="1" w:lastRow="0" w:firstColumn="1" w:lastColumn="0" w:noHBand="0" w:noVBand="1"/>
      </w:tblPr>
      <w:tblGrid>
        <w:gridCol w:w="439"/>
        <w:gridCol w:w="1313"/>
        <w:gridCol w:w="1479"/>
        <w:gridCol w:w="921"/>
        <w:gridCol w:w="1017"/>
        <w:gridCol w:w="928"/>
        <w:gridCol w:w="714"/>
        <w:gridCol w:w="1151"/>
        <w:gridCol w:w="1240"/>
        <w:gridCol w:w="1293"/>
        <w:gridCol w:w="1060"/>
        <w:gridCol w:w="940"/>
        <w:gridCol w:w="1017"/>
        <w:gridCol w:w="1260"/>
      </w:tblGrid>
      <w:tr w:rsidR="00BF287D" w:rsidRPr="007E6C1B" w14:paraId="1844FB7D" w14:textId="77777777" w:rsidTr="00BF287D">
        <w:trPr>
          <w:trHeight w:val="255"/>
        </w:trPr>
        <w:tc>
          <w:tcPr>
            <w:tcW w:w="920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C420BE" w14:textId="31EE6CE9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lastRenderedPageBreak/>
              <w:t>PREGLED POTRAŽIVANJA ZA DANE GARANTNE DEPOZITE NA DAN 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06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.202</w:t>
            </w:r>
            <w:r w:rsidR="00ED35AC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5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28D39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4B2FE2" w14:textId="77777777" w:rsidR="00BF287D" w:rsidRPr="007E6C1B" w:rsidRDefault="00BF287D" w:rsidP="00BF287D">
            <w:pPr>
              <w:suppressAutoHyphens w:val="0"/>
              <w:rPr>
                <w:rFonts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78E8FC" w14:textId="77777777" w:rsidR="00BF287D" w:rsidRPr="007E6C1B" w:rsidRDefault="00BF287D" w:rsidP="00BF287D">
            <w:pPr>
              <w:suppressAutoHyphens w:val="0"/>
              <w:rPr>
                <w:rFonts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8EFD5D" w14:textId="77777777" w:rsidR="00BF287D" w:rsidRPr="007E6C1B" w:rsidRDefault="00BF287D" w:rsidP="00BF287D">
            <w:pPr>
              <w:suppressAutoHyphens w:val="0"/>
              <w:rPr>
                <w:rFonts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9AAF54" w14:textId="77777777" w:rsidR="00BF287D" w:rsidRPr="007E6C1B" w:rsidRDefault="00BF287D" w:rsidP="00BF287D">
            <w:pPr>
              <w:suppressAutoHyphens w:val="0"/>
              <w:rPr>
                <w:rFonts w:cs="Times New Roman"/>
                <w:sz w:val="16"/>
                <w:szCs w:val="16"/>
                <w:lang w:val="hr-HR" w:eastAsia="hr-HR"/>
              </w:rPr>
            </w:pPr>
          </w:p>
        </w:tc>
      </w:tr>
      <w:tr w:rsidR="00BF287D" w:rsidRPr="0014261E" w14:paraId="0908C03D" w14:textId="77777777" w:rsidTr="00BF287D">
        <w:trPr>
          <w:trHeight w:val="25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B950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R. br.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EFCD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Dat.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plać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prot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 jamstva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7F16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Naziv dužnika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D5340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Korisnik jamstva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F731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Glavnica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E7BE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Kamata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49BF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Ostalo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F67E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Ukupno pl.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1223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98A8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St. akt.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C630" w14:textId="4C8AC0D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Povr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. akt.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 202</w:t>
            </w:r>
            <w:r w:rsidR="00ED35AC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5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1047" w14:textId="77397AE1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Otpis akt.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 202</w:t>
            </w:r>
            <w:r w:rsidR="00ED35AC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5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862C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Akt.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1AD0E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UKUPNO u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</w:tr>
      <w:tr w:rsidR="00BF287D" w:rsidRPr="0014261E" w14:paraId="69F4A6CF" w14:textId="77777777" w:rsidTr="00BF287D">
        <w:trPr>
          <w:trHeight w:val="21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FC3A8F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0351C0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0807F9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CABE8A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A081460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03029985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15C83359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3C66A15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4849814B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46F1F489" w14:textId="5FC58F20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 - 01.01.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-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202</w:t>
            </w:r>
            <w:r w:rsidR="00ED35AC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5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B3F00E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B11EB7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09841140" w14:textId="7B94AAA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202</w:t>
            </w:r>
            <w:r w:rsidR="00ED35AC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5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2A967AE0" w14:textId="38A88C9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06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.202</w:t>
            </w:r>
            <w:r w:rsidR="00ED35AC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5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</w:tr>
      <w:tr w:rsidR="00BF287D" w:rsidRPr="0014261E" w14:paraId="47E4DD2A" w14:textId="77777777" w:rsidTr="00BF287D">
        <w:trPr>
          <w:trHeight w:val="2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03F5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A0AC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02.05.2005.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B390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Drvo Macelj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85E45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55FE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82.902,17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CC46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499,89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8B3E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AC67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83.402,06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DC8E6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F269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75.226,08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7177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AF53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DFB1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5D54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75.226,08</w:t>
            </w:r>
          </w:p>
        </w:tc>
      </w:tr>
      <w:tr w:rsidR="00BF287D" w:rsidRPr="0014261E" w14:paraId="1333FCDA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5673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512A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05.01.2006.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9659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TGU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A176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1DA2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145.802,75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B32C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2.668,19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70AA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F874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148.470,94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135588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2138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145.469,18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4E04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C549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5EE0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AA12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145.469,18</w:t>
            </w:r>
          </w:p>
        </w:tc>
      </w:tr>
      <w:tr w:rsidR="00BF287D" w:rsidRPr="0014261E" w14:paraId="1E7CB2ED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801D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AD23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02.11.2006.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E9A2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Zajasi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BFF9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A0E3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31.757,83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0284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581,17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5EC8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FF4D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32.339,00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F5101B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AF3D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9415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C965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FC16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B385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</w:tr>
      <w:tr w:rsidR="00BF287D" w:rsidRPr="0014261E" w14:paraId="57EFCF6E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901B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3BE9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31.10.2008.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3A36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Doming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-M.K.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FE29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545C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1B0B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6224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D823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C6946F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3E9B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6.281,25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9DA9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4774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9CA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306F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6.281,25</w:t>
            </w:r>
          </w:p>
        </w:tc>
      </w:tr>
      <w:tr w:rsidR="00BF287D" w:rsidRPr="0014261E" w14:paraId="37D68FA6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59FA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AAAB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01.12.2008.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3777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Alati P.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B9D7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4109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89.063,48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DDD4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3.603,25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DE35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8AEC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92.666,73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1D58DC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C55A5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87.667,61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E72A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271F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A50F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0FDD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87.667,61</w:t>
            </w:r>
          </w:p>
        </w:tc>
      </w:tr>
      <w:tr w:rsidR="00BF287D" w:rsidRPr="0014261E" w14:paraId="46DD8E36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1A0C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1EB7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16.02.2009.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28FF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Đura trans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9D3DE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1BD05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144.128,62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D4CB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5.874,39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4277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A380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150.003,01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FC32DF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65D8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148.153,48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DE75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1E24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1C10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765E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148.153,48</w:t>
            </w:r>
          </w:p>
        </w:tc>
      </w:tr>
      <w:tr w:rsidR="00BF287D" w:rsidRPr="0014261E" w14:paraId="5FF6FA20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57D0B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AD72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29.04.2009.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CC9F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Eurošlape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BBCB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307E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56.912,18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3F45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2.775,26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0FD3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E80B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59.687,44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4ABE71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DEAB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58.823,01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294F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9DF2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3056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334A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58.823,01</w:t>
            </w:r>
          </w:p>
        </w:tc>
      </w:tr>
      <w:tr w:rsidR="00BF287D" w:rsidRPr="0014261E" w14:paraId="421BE9A2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67E5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A560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25.09.2009.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2423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Drvo prerada T.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45B9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A1DC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48.456,92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5FD9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D711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7D81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48.456,92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689EF2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799B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46.642,84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1857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AA4C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FA7F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B10A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46.642,84</w:t>
            </w:r>
          </w:p>
        </w:tc>
      </w:tr>
      <w:tr w:rsidR="00BF287D" w:rsidRPr="0014261E" w14:paraId="08EE2E83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EC09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9.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F71C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11.02.2010.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C514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Minicentar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71246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4B61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26.277,25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B303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61C0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E152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26.277,25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4CE667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EA3D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25.525,07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09EE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C494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2ED7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D10E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25.525,07</w:t>
            </w:r>
          </w:p>
        </w:tc>
      </w:tr>
      <w:tr w:rsidR="00BF287D" w:rsidRPr="0014261E" w14:paraId="2722BB23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AFABB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10.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1B90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15.03.2010.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49E0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Čarolija ljepote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06EC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7A80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64.226,92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5200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A9B7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9EAE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64.226,92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1F6A51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874A4" w14:textId="1F1BAD9F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45.888,96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F9922" w14:textId="354126F5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29A3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3539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BEF93" w14:textId="6A9A81BD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45.388,96</w:t>
            </w:r>
          </w:p>
        </w:tc>
      </w:tr>
      <w:tr w:rsidR="00BF287D" w:rsidRPr="0014261E" w14:paraId="56CCF348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1F44B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11.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5E58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21.04.2010.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2038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Drvo Gorica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EAD2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4DB2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71.392,74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82CE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813,43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05E0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536E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72.206,17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77DA0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48C3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67.682,99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43CF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312B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2BC0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4D49B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67.682,99</w:t>
            </w:r>
          </w:p>
        </w:tc>
      </w:tr>
      <w:tr w:rsidR="00BF287D" w:rsidRPr="0014261E" w14:paraId="62959A0A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DFB1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12.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70E8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15.11.2010.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4409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Astro CO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E662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2A23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78.252,24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5F81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1.419,22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C4C1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0339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79.671,46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EE755B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0E42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37.612,67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D008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B52B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18F3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1506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37.612,67</w:t>
            </w:r>
          </w:p>
        </w:tc>
      </w:tr>
      <w:tr w:rsidR="00BF287D" w:rsidRPr="0014261E" w14:paraId="2DFC876C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354B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13.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4C2B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22.11.2010.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F046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Autoprijoz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M.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9C5E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A15D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8.324,88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5E10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220,73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62F3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F40C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8.545,61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BB5EC2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1CC1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8.385,58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071F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0ED1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5705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293C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8.385,58</w:t>
            </w:r>
          </w:p>
        </w:tc>
      </w:tr>
      <w:tr w:rsidR="00BF287D" w:rsidRPr="0014261E" w14:paraId="71E2BB41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4084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14.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FA2E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27.12.2013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865F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Autoprijoz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Mal.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C482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8424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13.285,97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3766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610,16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3559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776D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13.896,13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6A61E9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091E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14.081,76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AE95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7A4C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A047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9573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14.081,76</w:t>
            </w:r>
          </w:p>
        </w:tc>
      </w:tr>
      <w:tr w:rsidR="00BF287D" w:rsidRPr="0014261E" w14:paraId="2801CFB8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69F4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8572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UK. ZABA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46B8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D02C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FD6F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860.783,95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5CF2B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19.065,69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9629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7F6A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879.849,64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29E163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C6587A" w14:textId="6D4611E0" w:rsidR="00BF287D" w:rsidRPr="00DA0B73" w:rsidRDefault="00E8629E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767.440,48</w:t>
            </w:r>
          </w:p>
        </w:tc>
        <w:tc>
          <w:tcPr>
            <w:tcW w:w="10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3D11C4" w14:textId="412B68ED" w:rsidR="00BF287D" w:rsidRPr="00DA0B73" w:rsidRDefault="00E8629E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500,00</w:t>
            </w:r>
          </w:p>
        </w:tc>
        <w:tc>
          <w:tcPr>
            <w:tcW w:w="9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DF770C" w14:textId="77777777" w:rsidR="00BF287D" w:rsidRPr="00DA0B73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70851" w14:textId="77777777" w:rsidR="00BF287D" w:rsidRPr="00DA0B73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36AFC5" w14:textId="30012530" w:rsidR="00BF287D" w:rsidRPr="00DA0B73" w:rsidRDefault="00E8629E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766.940,48</w:t>
            </w:r>
          </w:p>
        </w:tc>
      </w:tr>
      <w:tr w:rsidR="00BF287D" w:rsidRPr="0014261E" w14:paraId="55A6E672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A8455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39D7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2005.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C263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Stolarija B.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1B80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D03E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AE92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FD7F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CD1D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FCAADB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767C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6.352,14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5016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3AA8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1DC4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C647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6.352,14</w:t>
            </w:r>
          </w:p>
        </w:tc>
      </w:tr>
      <w:tr w:rsidR="00BF287D" w:rsidRPr="0014261E" w14:paraId="513B05E7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38C9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16.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63DC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2005.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CAD9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HB građenje B.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B8F6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8783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9D40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8649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7D07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736513B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72E0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5.278,11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CD9F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1DCD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34D8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2DB7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5.278,11</w:t>
            </w:r>
          </w:p>
        </w:tc>
      </w:tr>
      <w:tr w:rsidR="00BF287D" w:rsidRPr="0014261E" w14:paraId="74889B31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E514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17.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1BD6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1.4.2011.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C0EB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Stakloplast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DEE8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3AB2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993F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D54C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B048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50.294,89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8A8B6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2199A" w14:textId="450EAD2E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41.264,85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CEB1C" w14:textId="3B77186E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1.313,42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4538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66C3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35174" w14:textId="30FAD649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39.951,43</w:t>
            </w:r>
          </w:p>
        </w:tc>
      </w:tr>
      <w:tr w:rsidR="00BF287D" w:rsidRPr="0014261E" w14:paraId="39398961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69A1E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18.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3395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1.4.2011.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C245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Autoprijoz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J.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ACDC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56A1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2E40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359F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FBFD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59.845,20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3E48E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0BF6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58.599,11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BD6A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7287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7A4C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A7BB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58.599,11</w:t>
            </w:r>
          </w:p>
        </w:tc>
      </w:tr>
      <w:tr w:rsidR="00BF287D" w:rsidRPr="0014261E" w14:paraId="78ACFD70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81CF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19.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CEC1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1.4.2011.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990E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Calamus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d.o.o.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905B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D643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9B1D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8AA0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F7A0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6.885,11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3483955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C118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6.741,75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8280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38A4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D24F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0056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6.741,75</w:t>
            </w:r>
          </w:p>
        </w:tc>
      </w:tr>
      <w:tr w:rsidR="00BF287D" w:rsidRPr="0014261E" w14:paraId="34C35442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39F89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C095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22.4.2013.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EF56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Elektron-P.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9E72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5C8E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99B9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3B16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737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75.134,06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E12499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CEF0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75.863,48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AD7F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818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4383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D3D3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75.863,48</w:t>
            </w:r>
          </w:p>
        </w:tc>
      </w:tr>
      <w:tr w:rsidR="00BF287D" w:rsidRPr="0014261E" w14:paraId="0B89A7FC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42E8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21.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B01D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01.05.2015.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2391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V. Gradnja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4489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0EB7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7348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75DF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C795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43.808,65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826CEE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C296A" w14:textId="7E757BCF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22.882,58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DBBE0" w14:textId="1331D809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4.209,42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D373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C5E0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0D21F" w14:textId="4B1D998B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18.673,16</w:t>
            </w:r>
          </w:p>
        </w:tc>
      </w:tr>
      <w:tr w:rsidR="00BF287D" w:rsidRPr="0014261E" w14:paraId="503D80D9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E354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22.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ED09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01.05.2015.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5FF7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M. G.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719D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6B58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DE76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28C6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1BB6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15.400,01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E8FA37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F74BB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15.488,44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E1C0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6EAB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6B5E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D803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15.488,44</w:t>
            </w:r>
          </w:p>
        </w:tc>
      </w:tr>
      <w:tr w:rsidR="00BF287D" w:rsidRPr="0014261E" w14:paraId="5583EC5F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4D2D5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9129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UK. PBZ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B033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674ED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060D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F1F0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5EEA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0CBB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251.367,92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3F4FA6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76596" w14:textId="7777457B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232.472,44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1045B" w14:textId="51ED4C15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5.522,84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013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91D0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BABA0" w14:textId="57664BEB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226.949,60</w:t>
            </w:r>
          </w:p>
        </w:tc>
      </w:tr>
      <w:tr w:rsidR="00BF287D" w:rsidRPr="0014261E" w14:paraId="3017BD3D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FCAC9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23.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3456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B609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D.H.-student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502E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VABA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C47E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F64C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9E36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6FB8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D1D557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3CE9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9E22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4F35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7306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8F8A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</w:tr>
      <w:tr w:rsidR="00BF287D" w:rsidRPr="0014261E" w14:paraId="0774A97C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3AB3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24.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B756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2012.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4D5C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A.Č.-</w:t>
            </w: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stud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909F6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VABA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FD95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2AB1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95C5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7E25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D33566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5D69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11.593,11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5B19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B1F8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4B1D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7696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11.593,11</w:t>
            </w:r>
          </w:p>
        </w:tc>
      </w:tr>
      <w:tr w:rsidR="00BF287D" w:rsidRPr="0014261E" w14:paraId="5FD0601E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6ABB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25.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6C27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2013.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ECBB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M.A.-student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9CA5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VABA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4B23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6BC4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2D6A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08D3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5176A8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F73B3" w14:textId="72D03319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6.140,79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650CD" w14:textId="12BA5F07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335,00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699D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8D75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A501E" w14:textId="56B5FEC3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5.805,79</w:t>
            </w:r>
          </w:p>
        </w:tc>
      </w:tr>
      <w:tr w:rsidR="00BF287D" w:rsidRPr="0014261E" w14:paraId="329ADB1C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45B3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BC0D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UK. STUDENT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1E7F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D1C9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DA9B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580F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069C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5E08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C33D64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0ABA7" w14:textId="275DBF2E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17.733,90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5E62F" w14:textId="3193E42B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335,00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C5B9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354E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CE49A" w14:textId="023A20A5" w:rsidR="00BF287D" w:rsidRPr="007E6C1B" w:rsidRDefault="00E8629E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17.398,90</w:t>
            </w:r>
          </w:p>
        </w:tc>
      </w:tr>
      <w:tr w:rsidR="00BF287D" w:rsidRPr="0014261E" w14:paraId="5269DCC3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4A1F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26.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6E7B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Pod.centar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4F12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Jamstv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 potenc.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39D7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C983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8B32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E917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FBDC8" w14:textId="03AEB844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  <w:r w:rsidR="00E8629E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64.454,89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D047A5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9624D" w14:textId="48187BE5" w:rsidR="00BF287D" w:rsidRPr="007E6C1B" w:rsidRDefault="00304563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64.454,89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D0A3F" w14:textId="4064B5CA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  <w:r w:rsidR="00CA7724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64.454,89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F10C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30F0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4B252" w14:textId="51C548AE" w:rsidR="00BF287D" w:rsidRPr="007E6C1B" w:rsidRDefault="00304563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0,00</w:t>
            </w:r>
          </w:p>
        </w:tc>
      </w:tr>
      <w:tr w:rsidR="00BF287D" w:rsidRPr="0014261E" w14:paraId="22F054B4" w14:textId="77777777" w:rsidTr="00BF287D">
        <w:trPr>
          <w:trHeight w:val="2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7111D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84B1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4BA9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736E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1318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860.783,95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5CF1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19.065,69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5ED3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AEEC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1.131.217,56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6922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07C96" w14:textId="6B9596BD" w:rsidR="00BF287D" w:rsidRPr="007E6C1B" w:rsidRDefault="00304563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1.082.101,71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871B7" w14:textId="3C0341E9" w:rsidR="00BF287D" w:rsidRPr="007E6C1B" w:rsidRDefault="00304563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70.812,73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F508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1E74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1344D" w14:textId="5C52F632" w:rsidR="00BF287D" w:rsidRPr="007E6C1B" w:rsidRDefault="00304563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1.011.288,98</w:t>
            </w:r>
          </w:p>
        </w:tc>
      </w:tr>
    </w:tbl>
    <w:p w14:paraId="5A3144A6" w14:textId="1C16BD88" w:rsidR="007E3C7B" w:rsidRDefault="007E3C7B" w:rsidP="0014261E"/>
    <w:sectPr w:rsidR="007E3C7B" w:rsidSect="00C97F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8119" w14:textId="77777777" w:rsidR="001F0F25" w:rsidRDefault="001F0F25" w:rsidP="0014261E">
      <w:r>
        <w:separator/>
      </w:r>
    </w:p>
  </w:endnote>
  <w:endnote w:type="continuationSeparator" w:id="0">
    <w:p w14:paraId="1998F3F6" w14:textId="77777777" w:rsidR="001F0F25" w:rsidRDefault="001F0F25" w:rsidP="0014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528D0" w14:textId="77777777" w:rsidR="001F0F25" w:rsidRDefault="001F0F25" w:rsidP="0014261E">
      <w:r>
        <w:separator/>
      </w:r>
    </w:p>
  </w:footnote>
  <w:footnote w:type="continuationSeparator" w:id="0">
    <w:p w14:paraId="0108B205" w14:textId="77777777" w:rsidR="001F0F25" w:rsidRDefault="001F0F25" w:rsidP="00142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5CE3"/>
    <w:multiLevelType w:val="hybridMultilevel"/>
    <w:tmpl w:val="64103D36"/>
    <w:lvl w:ilvl="0" w:tplc="041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1548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7E"/>
    <w:rsid w:val="00026A68"/>
    <w:rsid w:val="00042025"/>
    <w:rsid w:val="00050169"/>
    <w:rsid w:val="00050B43"/>
    <w:rsid w:val="00093407"/>
    <w:rsid w:val="000A326E"/>
    <w:rsid w:val="000C6602"/>
    <w:rsid w:val="00102C3A"/>
    <w:rsid w:val="00132F27"/>
    <w:rsid w:val="0014261E"/>
    <w:rsid w:val="0014799D"/>
    <w:rsid w:val="00155D0B"/>
    <w:rsid w:val="001F0F25"/>
    <w:rsid w:val="00281F68"/>
    <w:rsid w:val="002871CC"/>
    <w:rsid w:val="00304563"/>
    <w:rsid w:val="003117BB"/>
    <w:rsid w:val="0036799F"/>
    <w:rsid w:val="004C4E8E"/>
    <w:rsid w:val="00506740"/>
    <w:rsid w:val="00515322"/>
    <w:rsid w:val="00523696"/>
    <w:rsid w:val="00536C48"/>
    <w:rsid w:val="005504BE"/>
    <w:rsid w:val="0056237E"/>
    <w:rsid w:val="0058336D"/>
    <w:rsid w:val="005E7D5C"/>
    <w:rsid w:val="0060382A"/>
    <w:rsid w:val="00647EB5"/>
    <w:rsid w:val="006918E9"/>
    <w:rsid w:val="006E3232"/>
    <w:rsid w:val="0076287C"/>
    <w:rsid w:val="00773191"/>
    <w:rsid w:val="007D7FD5"/>
    <w:rsid w:val="007E3C7B"/>
    <w:rsid w:val="007E6C1B"/>
    <w:rsid w:val="00845818"/>
    <w:rsid w:val="008525DD"/>
    <w:rsid w:val="009000B8"/>
    <w:rsid w:val="009E00BF"/>
    <w:rsid w:val="00A27487"/>
    <w:rsid w:val="00A70865"/>
    <w:rsid w:val="00B52C8C"/>
    <w:rsid w:val="00B646F4"/>
    <w:rsid w:val="00BC1720"/>
    <w:rsid w:val="00BD4A98"/>
    <w:rsid w:val="00BF287D"/>
    <w:rsid w:val="00C16A34"/>
    <w:rsid w:val="00C702EF"/>
    <w:rsid w:val="00C97F09"/>
    <w:rsid w:val="00CA7724"/>
    <w:rsid w:val="00D4758F"/>
    <w:rsid w:val="00DA0B73"/>
    <w:rsid w:val="00DE558B"/>
    <w:rsid w:val="00E1678A"/>
    <w:rsid w:val="00E34D18"/>
    <w:rsid w:val="00E47DD1"/>
    <w:rsid w:val="00E8629E"/>
    <w:rsid w:val="00EC366A"/>
    <w:rsid w:val="00ED35AC"/>
    <w:rsid w:val="00F373BE"/>
    <w:rsid w:val="00F8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2E7C"/>
  <w15:chartTrackingRefBased/>
  <w15:docId w15:val="{895F1855-0CAD-4A6F-AEE9-288A4524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7BB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3117BB"/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3117BB"/>
    <w:pPr>
      <w:ind w:left="720"/>
      <w:contextualSpacing/>
    </w:pPr>
    <w:rPr>
      <w:kern w:val="2"/>
      <w14:ligatures w14:val="standardContextual"/>
    </w:rPr>
  </w:style>
  <w:style w:type="paragraph" w:styleId="Zaglavlje">
    <w:name w:val="header"/>
    <w:basedOn w:val="Normal"/>
    <w:link w:val="ZaglavljeChar"/>
    <w:uiPriority w:val="99"/>
    <w:unhideWhenUsed/>
    <w:rsid w:val="0014261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4261E"/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14261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4261E"/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3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B6054-73EF-49EF-B4D3-C1EE9D79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Petek</dc:creator>
  <cp:keywords/>
  <dc:description/>
  <cp:lastModifiedBy>Ivana Petek</cp:lastModifiedBy>
  <cp:revision>32</cp:revision>
  <cp:lastPrinted>2024-08-21T11:00:00Z</cp:lastPrinted>
  <dcterms:created xsi:type="dcterms:W3CDTF">2024-05-09T09:51:00Z</dcterms:created>
  <dcterms:modified xsi:type="dcterms:W3CDTF">2025-10-02T12:09:00Z</dcterms:modified>
</cp:coreProperties>
</file>